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5949A086" w:rsidP="50D1BB57" w:rsidRDefault="5949A086" w14:paraId="0ABF10DF" w14:textId="3365B909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50D1BB57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50D1BB57">
        <w:rPr>
          <w:rFonts w:ascii="Calibri" w:hAnsi="Calibri" w:eastAsia="Calibri" w:cs="Calibri"/>
          <w:color w:val="000000" w:themeColor="text1"/>
        </w:rPr>
        <w:t xml:space="preserve"> </w:t>
      </w:r>
    </w:p>
    <w:p w:rsidR="5949A086" w:rsidP="50D1BB57" w:rsidRDefault="5949A086" w14:paraId="74B1AEAE" w14:textId="4691904A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50D1BB57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50D1BB57">
        <w:rPr>
          <w:rFonts w:ascii="Calibri" w:hAnsi="Calibri" w:eastAsia="Calibri" w:cs="Calibri"/>
          <w:color w:val="000000" w:themeColor="text1"/>
        </w:rPr>
        <w:t xml:space="preserve">: </w:t>
      </w:r>
      <w:r w:rsidRPr="50D1BB57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5949A086" w:rsidP="50D1BB57" w:rsidRDefault="5949A086" w14:paraId="6A658A75" w14:textId="1CFD6CAA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50D1BB57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50D1BB57">
        <w:rPr>
          <w:rFonts w:ascii="Calibri" w:hAnsi="Calibri" w:eastAsia="Calibri" w:cs="Calibri"/>
          <w:color w:val="000000" w:themeColor="text1"/>
        </w:rPr>
        <w:t xml:space="preserve">: </w:t>
      </w:r>
      <w:r w:rsidRPr="50D1BB57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50D1BB57">
        <w:rPr>
          <w:rFonts w:ascii="Calibri" w:hAnsi="Calibri" w:eastAsia="Calibri" w:cs="Calibri"/>
          <w:color w:val="000000" w:themeColor="text1"/>
        </w:rPr>
        <w:t xml:space="preserve"> </w:t>
      </w:r>
    </w:p>
    <w:p w:rsidR="5949A086" w:rsidP="50D1BB57" w:rsidRDefault="5949A086" w14:paraId="37C1FD50" w14:textId="26E04E64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304EEA01" w:rsidR="5949A086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304EEA01" w:rsidR="5949A086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304EEA01" w:rsidR="005A46B8">
        <w:rPr>
          <w:rFonts w:ascii="Calibri" w:hAnsi="Calibri" w:eastAsia="Calibri" w:cs="Calibri"/>
          <w:color w:val="000000" w:themeColor="text1" w:themeTint="FF" w:themeShade="FF"/>
        </w:rPr>
        <w:t>2</w:t>
      </w:r>
      <w:r w:rsidRPr="304EEA01" w:rsidR="7B358B36">
        <w:rPr>
          <w:rFonts w:ascii="Calibri" w:hAnsi="Calibri" w:eastAsia="Calibri" w:cs="Calibri"/>
          <w:color w:val="000000" w:themeColor="text1" w:themeTint="FF" w:themeShade="FF"/>
        </w:rPr>
        <w:t>4</w:t>
      </w:r>
      <w:r w:rsidRPr="304EEA01" w:rsidR="005A46B8">
        <w:rPr>
          <w:rFonts w:ascii="Calibri" w:hAnsi="Calibri" w:eastAsia="Calibri" w:cs="Calibri"/>
          <w:color w:val="000000" w:themeColor="text1" w:themeTint="FF" w:themeShade="FF"/>
        </w:rPr>
        <w:t>t</w:t>
      </w:r>
      <w:r w:rsidRPr="304EEA01" w:rsidR="67D1B5A0">
        <w:rPr>
          <w:rFonts w:ascii="Calibri" w:hAnsi="Calibri" w:eastAsia="Calibri" w:cs="Calibri"/>
          <w:color w:val="000000" w:themeColor="text1" w:themeTint="FF" w:themeShade="FF"/>
        </w:rPr>
        <w:t>h</w:t>
      </w:r>
      <w:r w:rsidRPr="304EEA01" w:rsidR="5949A086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5949A086" w:rsidP="50D1BB57" w:rsidRDefault="5949A086" w14:paraId="5FA45F65" w14:textId="17953180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50D1BB57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50D1BB57">
        <w:rPr>
          <w:rFonts w:ascii="Calibri" w:hAnsi="Calibri" w:eastAsia="Calibri" w:cs="Calibri"/>
          <w:color w:val="000000" w:themeColor="text1"/>
        </w:rPr>
        <w:t>March, 11th, 2025</w:t>
      </w:r>
      <w:r w:rsidR="0087654B">
        <w:rPr>
          <w:rFonts w:ascii="Calibri" w:hAnsi="Calibri" w:eastAsia="Calibri" w:cs="Calibri"/>
          <w:color w:val="000000" w:themeColor="text1"/>
        </w:rPr>
        <w:t>, 15:00 UTC +2</w:t>
      </w:r>
    </w:p>
    <w:p w:rsidR="5949A086" w:rsidP="50D1BB57" w:rsidRDefault="5949A086" w14:paraId="3954FA42" w14:textId="11E4EB23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50D1BB57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87654B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50D1BB57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50D1BB57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="008820F3" w:rsidP="008820F3" w:rsidRDefault="008820F3" w14:paraId="6CA18BE6" w14:textId="17B745AF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50D1BB57">
        <w:rPr>
          <w:rFonts w:ascii="Calibri" w:hAnsi="Calibri" w:eastAsia="Calibri" w:cs="Calibri"/>
          <w:b/>
          <w:bCs/>
        </w:rPr>
        <w:t xml:space="preserve">ANNEX </w:t>
      </w:r>
      <w:r w:rsidRPr="50D1BB57" w:rsidR="0B9F086C">
        <w:rPr>
          <w:rFonts w:ascii="Calibri" w:hAnsi="Calibri" w:eastAsia="Calibri" w:cs="Calibri"/>
          <w:b/>
          <w:bCs/>
        </w:rPr>
        <w:t>#1</w:t>
      </w:r>
      <w:r w:rsidR="0087654B">
        <w:rPr>
          <w:rFonts w:ascii="Calibri" w:hAnsi="Calibri" w:eastAsia="Calibri" w:cs="Calibri"/>
          <w:b/>
          <w:bCs/>
        </w:rPr>
        <w:t>5</w:t>
      </w:r>
    </w:p>
    <w:p w:rsidR="000F43FA" w:rsidP="00692189" w:rsidRDefault="00DA0CE8" w14:paraId="4FAB0F44" w14:textId="2B503B31">
      <w:pPr>
        <w:spacing w:after="110" w:line="259" w:lineRule="auto"/>
        <w:jc w:val="center"/>
      </w:pPr>
      <w:r w:rsidRPr="00DA0CE8">
        <w:rPr>
          <w:rFonts w:ascii="Calibri" w:hAnsi="Calibri" w:eastAsia="Calibri" w:cs="Calibri"/>
          <w:b/>
          <w:bCs/>
        </w:rPr>
        <w:t>D</w:t>
      </w:r>
      <w:r w:rsidRPr="00DA0CE8" w:rsidR="6AA859D9">
        <w:rPr>
          <w:rFonts w:ascii="Calibri" w:hAnsi="Calibri" w:eastAsia="Calibri" w:cs="Calibri"/>
          <w:b/>
          <w:bCs/>
        </w:rPr>
        <w:t xml:space="preserve">etailed technical documents covering Specification #1 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3BD8" w:rsidR="00692189" w:rsidP="6BD32269" w:rsidRDefault="00DA0CE8" w14:paraId="6FA2F069" w14:textId="2B08A0D4">
      <w:pPr>
        <w:spacing w:after="160" w:line="256" w:lineRule="auto"/>
        <w:ind w:left="705"/>
        <w:rPr>
          <w:rFonts w:ascii="Calibri" w:hAnsi="Calibri" w:eastAsia="Calibri" w:cs="Calibri"/>
        </w:rPr>
      </w:pPr>
      <w:r w:rsidRPr="6BD32269">
        <w:rPr>
          <w:rFonts w:ascii="Calibri" w:hAnsi="Calibri" w:eastAsia="Calibri" w:cs="Calibri"/>
        </w:rPr>
        <w:t xml:space="preserve">For confirmation, the Participant must provide </w:t>
      </w:r>
      <w:r w:rsidRPr="6BD32269" w:rsidR="35B492E4">
        <w:rPr>
          <w:rFonts w:ascii="Calibri" w:hAnsi="Calibri" w:eastAsia="Calibri" w:cs="Calibri"/>
          <w:color w:val="000000" w:themeColor="text1"/>
          <w:lang w:val="en-GB"/>
        </w:rPr>
        <w:t>Manuals (UA language), Declarations of conformity, Letter of guarantee from the official manufacturer of the product that is the subject of the procurement</w:t>
      </w:r>
      <w:r w:rsidRPr="6BD32269" w:rsidR="35B492E4">
        <w:rPr>
          <w:rFonts w:ascii="Calibri" w:hAnsi="Calibri" w:eastAsia="Calibri" w:cs="Calibri"/>
          <w:color w:val="000000" w:themeColor="text1"/>
          <w:lang w:val="en-US"/>
        </w:rPr>
        <w:t xml:space="preserve">, </w:t>
      </w:r>
      <w:r w:rsidRPr="6BD32269" w:rsidR="35B492E4">
        <w:rPr>
          <w:rFonts w:ascii="Calibri" w:hAnsi="Calibri" w:eastAsia="Calibri" w:cs="Calibri"/>
          <w:color w:val="000000" w:themeColor="text1"/>
          <w:lang w:val="en-GB"/>
        </w:rPr>
        <w:t>Letter of guarantee from the official software manufacturer</w:t>
      </w:r>
      <w:r w:rsidRPr="6BD32269" w:rsidR="35B492E4">
        <w:rPr>
          <w:rFonts w:ascii="Calibri" w:hAnsi="Calibri" w:eastAsia="Calibri" w:cs="Calibri"/>
          <w:color w:val="000000" w:themeColor="text1"/>
          <w:lang w:val="en-US"/>
        </w:rPr>
        <w:t xml:space="preserve">, </w:t>
      </w:r>
      <w:r w:rsidRPr="6BD32269" w:rsidR="35B492E4">
        <w:rPr>
          <w:rFonts w:ascii="Calibri" w:hAnsi="Calibri" w:eastAsia="Calibri" w:cs="Calibri"/>
          <w:color w:val="000000" w:themeColor="text1"/>
          <w:lang w:val="en-GB"/>
        </w:rPr>
        <w:t>Letter of guarantee regarding the characteristics of the components of the proposed kit, etc.</w:t>
      </w:r>
    </w:p>
    <w:p w:rsidRPr="00693BD8" w:rsidR="00692189" w:rsidP="6BD32269" w:rsidRDefault="35B492E4" w14:paraId="08F91423" w14:textId="7FFC7F63">
      <w:pPr>
        <w:spacing w:after="160" w:line="256" w:lineRule="auto"/>
        <w:ind w:left="705"/>
        <w:rPr>
          <w:rFonts w:ascii="Calibri" w:hAnsi="Calibri" w:eastAsia="Calibri" w:cs="Calibri"/>
          <w:color w:val="000000" w:themeColor="text1"/>
          <w:lang w:val="en-GB"/>
        </w:rPr>
      </w:pPr>
      <w:r w:rsidRPr="6BD32269">
        <w:rPr>
          <w:rFonts w:ascii="Calibri" w:hAnsi="Calibri" w:eastAsia="Calibri" w:cs="Calibri"/>
          <w:color w:val="000000" w:themeColor="text1"/>
          <w:lang w:val="en-GB"/>
        </w:rPr>
        <w:t>Copies should be stamped, signed.</w:t>
      </w:r>
    </w:p>
    <w:p w:rsidRPr="00693BD8" w:rsidR="00692189" w:rsidP="36141FC9" w:rsidRDefault="00692189" w14:paraId="0ABDAD86" w14:textId="488F5CFF">
      <w:pPr>
        <w:spacing w:after="153" w:line="259" w:lineRule="auto"/>
        <w:rPr>
          <w:rFonts w:ascii="Calibri" w:hAnsi="Calibri" w:eastAsia="Calibri" w:cs="Calibri"/>
        </w:rPr>
      </w:pPr>
    </w:p>
    <w:sectPr w:rsidRPr="00693BD8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2C90" w:rsidP="008D03F6" w:rsidRDefault="00612C90" w14:paraId="6E6E28E1" w14:textId="77777777">
      <w:pPr>
        <w:spacing w:after="0" w:line="240" w:lineRule="auto"/>
      </w:pPr>
      <w:r>
        <w:separator/>
      </w:r>
    </w:p>
  </w:endnote>
  <w:endnote w:type="continuationSeparator" w:id="0">
    <w:p w:rsidR="00612C90" w:rsidP="008D03F6" w:rsidRDefault="00612C90" w14:paraId="479B71D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2C90" w:rsidP="008D03F6" w:rsidRDefault="00612C90" w14:paraId="5CEAC023" w14:textId="77777777">
      <w:pPr>
        <w:spacing w:after="0" w:line="240" w:lineRule="auto"/>
      </w:pPr>
      <w:r>
        <w:separator/>
      </w:r>
    </w:p>
  </w:footnote>
  <w:footnote w:type="continuationSeparator" w:id="0">
    <w:p w:rsidR="00612C90" w:rsidP="008D03F6" w:rsidRDefault="00612C90" w14:paraId="280466D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E5424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E73E3"/>
    <w:rsid w:val="00340031"/>
    <w:rsid w:val="00354D0F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913FB"/>
    <w:rsid w:val="005A46B8"/>
    <w:rsid w:val="00612C90"/>
    <w:rsid w:val="00630FD0"/>
    <w:rsid w:val="006322BA"/>
    <w:rsid w:val="0068748D"/>
    <w:rsid w:val="00692189"/>
    <w:rsid w:val="00693BD8"/>
    <w:rsid w:val="006A6C68"/>
    <w:rsid w:val="006B4521"/>
    <w:rsid w:val="006B7732"/>
    <w:rsid w:val="006D2489"/>
    <w:rsid w:val="006F595A"/>
    <w:rsid w:val="00732DC3"/>
    <w:rsid w:val="008019E4"/>
    <w:rsid w:val="00803699"/>
    <w:rsid w:val="00817F8B"/>
    <w:rsid w:val="00822362"/>
    <w:rsid w:val="0087654B"/>
    <w:rsid w:val="008820F3"/>
    <w:rsid w:val="008A2732"/>
    <w:rsid w:val="008B15A6"/>
    <w:rsid w:val="008D03F6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B06931"/>
    <w:rsid w:val="00B221B1"/>
    <w:rsid w:val="00B3449D"/>
    <w:rsid w:val="00BA537B"/>
    <w:rsid w:val="00C44688"/>
    <w:rsid w:val="00C66FC3"/>
    <w:rsid w:val="00C90CA8"/>
    <w:rsid w:val="00D20BE2"/>
    <w:rsid w:val="00DA0CE8"/>
    <w:rsid w:val="00DD6C93"/>
    <w:rsid w:val="00E41E80"/>
    <w:rsid w:val="00EA1BBC"/>
    <w:rsid w:val="00EB055D"/>
    <w:rsid w:val="00EC51D7"/>
    <w:rsid w:val="00FC1615"/>
    <w:rsid w:val="00FE0F22"/>
    <w:rsid w:val="00FE46BF"/>
    <w:rsid w:val="0B9F086C"/>
    <w:rsid w:val="304EEA01"/>
    <w:rsid w:val="35B492E4"/>
    <w:rsid w:val="36141FC9"/>
    <w:rsid w:val="50D1BB57"/>
    <w:rsid w:val="5949A086"/>
    <w:rsid w:val="67D1B5A0"/>
    <w:rsid w:val="6AA859D9"/>
    <w:rsid w:val="6BD32269"/>
    <w:rsid w:val="74F9C540"/>
    <w:rsid w:val="7B358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71B38A-B0A4-4AAA-BD7B-00F1D09AF4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25</cp:revision>
  <dcterms:created xsi:type="dcterms:W3CDTF">2022-04-22T13:49:00Z</dcterms:created>
  <dcterms:modified xsi:type="dcterms:W3CDTF">2025-02-24T09:26:24Z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